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>
        <w:trPr>
          <w:trHeight w:val="1745"/>
          <w:jc w:val="center"/>
        </w:trPr>
        <w:tc>
          <w:tcPr>
            <w:tcW w:w="9212" w:type="dxa"/>
            <w:tcBorders>
              <w:bottom w:val="double" w:sz="4" w:space="0" w:color="auto"/>
            </w:tcBorders>
          </w:tcPr>
          <w:p>
            <w:pPr>
              <w:pStyle w:val="Titre"/>
            </w:pPr>
            <w:r>
              <w:t>Examen Electromagnétisme</w:t>
            </w:r>
          </w:p>
          <w:p>
            <w:pPr>
              <w:pStyle w:val="Titre"/>
            </w:pPr>
            <w:r>
              <w:t>SESSION 2 - 1</w:t>
            </w:r>
            <w:r>
              <w:rPr>
                <w:vertAlign w:val="superscript"/>
              </w:rPr>
              <w:t>ère</w:t>
            </w:r>
            <w:r>
              <w:t xml:space="preserve"> 3EA  - Année : 2019-2020</w:t>
            </w:r>
          </w:p>
          <w:p>
            <w:pPr>
              <w:jc w:val="center"/>
            </w:pPr>
            <w:r>
              <w:t>(Durée 1h00 – sans calculatrice - avec document manuscrit)</w:t>
            </w:r>
          </w:p>
        </w:tc>
      </w:tr>
    </w:tbl>
    <w:p/>
    <w:p>
      <w:pPr>
        <w:pStyle w:val="Titre2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Champ électrostatique (12/ points)</w:t>
      </w:r>
    </w:p>
    <w:p>
      <w:pPr>
        <w:ind w:firstLine="360"/>
        <w:rPr>
          <w:sz w:val="24"/>
          <w:szCs w:val="24"/>
        </w:rPr>
      </w:pPr>
      <w:r>
        <w:rPr>
          <w:sz w:val="24"/>
          <w:szCs w:val="24"/>
        </w:rPr>
        <w:t>Un cylindre creux de rayon intérieur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sz w:val="24"/>
          <w:szCs w:val="24"/>
        </w:rPr>
        <w:t xml:space="preserve"> et extérieur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>
        <w:rPr>
          <w:sz w:val="24"/>
          <w:szCs w:val="24"/>
        </w:rPr>
        <w:t xml:space="preserve"> est constitué de deux tubes concentriques infiniment long aux propriétés électriques distinctes, de distributions de charges homogènes respectivement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sz w:val="24"/>
          <w:szCs w:val="24"/>
        </w:rPr>
        <w:t xml:space="preserve"> et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sz w:val="24"/>
          <w:szCs w:val="24"/>
        </w:rPr>
        <w:t xml:space="preserve">et de permittivités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sz w:val="24"/>
          <w:szCs w:val="24"/>
        </w:rPr>
        <w:t xml:space="preserve"> (figure 1).</w:t>
      </w:r>
    </w:p>
    <w:p/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10"/>
        <w:gridCol w:w="1140"/>
        <w:gridCol w:w="2675"/>
        <w:gridCol w:w="2847"/>
      </w:tblGrid>
      <w:tr>
        <w:tc>
          <w:tcPr>
            <w:tcW w:w="3261" w:type="dxa"/>
            <w:gridSpan w:val="2"/>
            <w:vAlign w:val="center"/>
          </w:tcPr>
          <w:p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00052" cy="1900052"/>
                  <wp:effectExtent l="0" t="0" r="5080" b="508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587" cy="19155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3"/>
            <w:vMerge w:val="restart"/>
            <w:vAlign w:val="center"/>
          </w:tcPr>
          <w:p>
            <w:pPr>
              <w:pStyle w:val="Paragraphedeliste"/>
              <w:numPr>
                <w:ilvl w:val="0"/>
                <w:numId w:val="3"/>
              </w:numPr>
              <w:spacing w:before="120" w:after="120"/>
              <w:ind w:left="462" w:hanging="3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la distribution de potentiel V dans tout l’espace.</w:t>
            </w:r>
          </w:p>
          <w:p>
            <w:pPr>
              <w:pStyle w:val="Paragraphedeliste"/>
              <w:spacing w:before="120" w:after="120"/>
              <w:ind w:left="462" w:hanging="357"/>
              <w:jc w:val="left"/>
              <w:rPr>
                <w:sz w:val="24"/>
                <w:szCs w:val="24"/>
              </w:rPr>
            </w:pPr>
          </w:p>
          <w:p>
            <w:pPr>
              <w:pStyle w:val="Paragraphedeliste"/>
              <w:numPr>
                <w:ilvl w:val="0"/>
                <w:numId w:val="3"/>
              </w:numPr>
              <w:spacing w:before="120" w:after="120"/>
              <w:ind w:left="462" w:hanging="3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déduire le champ électrique dans tout l’espace. </w:t>
            </w:r>
          </w:p>
          <w:p>
            <w:pPr>
              <w:pStyle w:val="Paragraphedeliste"/>
              <w:spacing w:before="120" w:after="120"/>
              <w:ind w:left="462" w:hanging="357"/>
              <w:jc w:val="left"/>
              <w:rPr>
                <w:sz w:val="24"/>
                <w:szCs w:val="24"/>
              </w:rPr>
            </w:pPr>
          </w:p>
          <w:p>
            <w:pPr>
              <w:pStyle w:val="Paragraphedeliste"/>
              <w:numPr>
                <w:ilvl w:val="0"/>
                <w:numId w:val="3"/>
              </w:numPr>
              <w:spacing w:before="120" w:after="120"/>
              <w:ind w:left="462" w:hanging="357"/>
              <w:jc w:val="left"/>
              <w:rPr>
                <w:noProof/>
              </w:rPr>
            </w:pPr>
            <w:r>
              <w:rPr>
                <w:sz w:val="24"/>
                <w:szCs w:val="24"/>
              </w:rPr>
              <w:t>Déterminer une condition simple pour que le champ soit nul au-delà de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oMath>
            <w:r>
              <w:rPr>
                <w:sz w:val="24"/>
                <w:szCs w:val="24"/>
              </w:rPr>
              <w:t>.</w:t>
            </w:r>
          </w:p>
        </w:tc>
      </w:tr>
      <w:tr>
        <w:tc>
          <w:tcPr>
            <w:tcW w:w="3261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Figure1. cylindre creux  avec distribution de charges</w:t>
            </w:r>
          </w:p>
        </w:tc>
        <w:tc>
          <w:tcPr>
            <w:tcW w:w="6662" w:type="dxa"/>
            <w:gridSpan w:val="3"/>
            <w:vMerge/>
            <w:vAlign w:val="center"/>
          </w:tcPr>
          <w:p>
            <w:pPr>
              <w:jc w:val="left"/>
              <w:rPr>
                <w:i/>
                <w:sz w:val="24"/>
                <w:szCs w:val="24"/>
              </w:rPr>
            </w:pPr>
          </w:p>
        </w:tc>
      </w:tr>
      <w:tr>
        <w:tc>
          <w:tcPr>
            <w:tcW w:w="4401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bottom w:val="double" w:sz="4" w:space="0" w:color="auto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gridAfter w:val="4"/>
          <w:wAfter w:w="6672" w:type="dxa"/>
        </w:trPr>
        <w:tc>
          <w:tcPr>
            <w:tcW w:w="3251" w:type="dxa"/>
          </w:tcPr>
          <w:p>
            <w:pPr>
              <w:rPr>
                <w:sz w:val="24"/>
                <w:szCs w:val="24"/>
              </w:rPr>
            </w:pPr>
          </w:p>
        </w:tc>
      </w:tr>
    </w:tbl>
    <w:p/>
    <w:p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2"/>
      </w:tblGrid>
      <w:tr>
        <w:tc>
          <w:tcPr>
            <w:tcW w:w="9742" w:type="dxa"/>
          </w:tcPr>
          <w:tbl>
            <w:tblPr>
              <w:tblStyle w:val="Grilledutableau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00"/>
              <w:tblLook w:val="04A0" w:firstRow="1" w:lastRow="0" w:firstColumn="1" w:lastColumn="0" w:noHBand="0" w:noVBand="1"/>
            </w:tblPr>
            <w:tblGrid>
              <w:gridCol w:w="9516"/>
            </w:tblGrid>
            <w:tr>
              <w:tc>
                <w:tcPr>
                  <w:tcW w:w="9742" w:type="dxa"/>
                  <w:shd w:val="clear" w:color="auto" w:fill="FFFF00"/>
                </w:tcPr>
                <w:p>
                  <w:r>
                    <w:lastRenderedPageBreak/>
                    <w:t>Equation en potentiel scalaire</w:t>
                  </w:r>
                </w:p>
                <w:p>
                  <w:pPr>
                    <w:rPr>
                      <w:rFonts w:ascii="Cambria Math" w:hAnsi="Cambria Math"/>
                      <w:i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mbria Math" w:hAnsi="Cambria Math"/>
                            </w:rPr>
                            <m:t>E</m:t>
                          </m:r>
                        </m:e>
                      </m:acc>
                      <m:r>
                        <w:rPr>
                          <w:rFonts w:ascii="Cambria Math" w:eastAsia="Cambria Math" w:hAnsi="Cambria Math"/>
                        </w:rPr>
                        <m:t>=-</m:t>
                      </m:r>
                      <m:r>
                        <w:rPr>
                          <w:rFonts w:ascii="Cambria Math" w:hAnsi="Cambria Math"/>
                        </w:rPr>
                        <m:t>∇V</m:t>
                      </m:r>
                    </m:oMath>
                  </m:oMathPara>
                </w:p>
                <w:p>
                  <w:r>
                    <w:t>Equation de Poisson en électrostatique</w:t>
                  </w:r>
                </w:p>
                <w:p>
                  <w:pPr>
                    <w:rPr>
                      <w:rFonts w:ascii="Cambria Math" w:hAnsi="Cambria Math"/>
                      <w:i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∇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V</m:t>
                      </m:r>
                      <m:r>
                        <w:rPr>
                          <w:rFonts w:ascii="Cambria Math" w:eastAsia="Cambria Math" w:hAnsi="Cambria Math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ε</m:t>
                          </m:r>
                        </m:den>
                      </m:f>
                    </m:oMath>
                  </m:oMathPara>
                </w:p>
                <w:p>
                  <w:pPr>
                    <w:spacing w:before="120"/>
                  </w:pPr>
                  <w:r>
                    <w:t>Dans un repère cylindrique, infiniment long suivant z, et axisymétrique, le potentiel ne dépend que de r</w:t>
                  </w:r>
                </w:p>
                <w:p>
                  <w:pPr>
                    <w:spacing w:before="120"/>
                  </w:pPr>
                  <w:r>
                    <w:t>On traite tout d’abord séparément les milieux</w:t>
                  </w:r>
                </w:p>
                <w:p>
                  <w:pPr>
                    <w:spacing w:before="120"/>
                  </w:pP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45"/>
                    <w:gridCol w:w="4645"/>
                  </w:tblGrid>
                  <w:tr>
                    <w:tc>
                      <w:tcPr>
                        <w:tcW w:w="4758" w:type="dxa"/>
                      </w:tcPr>
                      <w:p>
                        <w:pPr>
                          <w:spacing w:before="120"/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r∈[0,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]</m:t>
                            </m:r>
                          </m:oMath>
                        </m:oMathPara>
                      </w:p>
                      <w:p>
                        <w:pPr>
                          <w:spacing w:before="120"/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∇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eastAsia="Cambria Math" w:hAnsi="Cambria Math"/>
                              </w:rPr>
                              <m:t>=0</m:t>
                            </m:r>
                          </m:oMath>
                        </m:oMathPara>
                      </w:p>
                      <w:p>
                        <w:pPr>
                          <w:spacing w:before="120"/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den>
                            </m:f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∂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∂r</m:t>
                                </m:r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∂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(r)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∂r</m:t>
                                    </m:r>
                                  </m:den>
                                </m:f>
                              </m:e>
                            </m:d>
                            <m:r>
                              <w:rPr>
                                <w:rFonts w:ascii="Cambria Math" w:eastAsia="Cambria Math" w:hAnsi="Cambria Math"/>
                              </w:rPr>
                              <m:t>=0</m:t>
                            </m:r>
                          </m:oMath>
                        </m:oMathPara>
                      </w:p>
                      <w:p>
                        <w:pPr>
                          <w:spacing w:before="120"/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d>
                            <m:r>
                              <w:rPr>
                                <w:rFonts w:ascii="Cambria Math" w:eastAsia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ln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</m:d>
                              </m:e>
                            </m:func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  <w:p>
                        <w:pPr>
                          <w:spacing w:before="120"/>
                        </w:pPr>
                        <w:r>
                          <w:t>Puisque à r=0 le potentiel doit avoir une valeur finie, alors</w:t>
                        </w:r>
                      </w:p>
                      <w:p>
                        <w:pPr>
                          <w:spacing w:before="120"/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</m:t>
                            </m:r>
                          </m:oMath>
                        </m:oMathPara>
                      </w:p>
                      <w:p>
                        <w:pPr>
                          <w:spacing w:before="120"/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  <w:p>
                        <w:pPr>
                          <w:spacing w:before="120"/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acc>
                            <m:r>
                              <w:rPr>
                                <w:rFonts w:ascii="Cambria Math" w:eastAsia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oMath>
                        </m:oMathPara>
                      </w:p>
                    </w:tc>
                    <w:tc>
                      <w:tcPr>
                        <w:tcW w:w="4758" w:type="dxa"/>
                      </w:tcPr>
                      <w:p>
                        <w:pPr>
                          <w:spacing w:before="120"/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r∈[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]</m:t>
                            </m:r>
                          </m:oMath>
                        </m:oMathPara>
                      </w:p>
                      <w:p>
                        <w:pPr>
                          <w:spacing w:before="120"/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∇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den>
                            </m:f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∂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∂r</m:t>
                                </m:r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∂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(r)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∂r</m:t>
                                    </m:r>
                                  </m:den>
                                </m:f>
                              </m:e>
                            </m:d>
                            <m:r>
                              <w:rPr>
                                <w:rFonts w:ascii="Cambria Math" w:eastAsia="Cambria Math" w:hAnsi="Cambria Math"/>
                              </w:rPr>
                              <m:t>=-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ε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>
                        <w:pPr>
                          <w:spacing w:before="120"/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d>
                            <m:r>
                              <w:rPr>
                                <w:rFonts w:ascii="Cambria Math" w:eastAsia="Cambria Math" w:hAnsi="Cambria Math"/>
                              </w:rPr>
                              <m:t>=-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4.ε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ln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r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R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</m:func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  <w:p>
                        <w:pPr>
                          <w:spacing w:before="120"/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acc>
                            <m:r>
                              <w:rPr>
                                <w:rFonts w:ascii="Cambria Math" w:eastAsia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∂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∂r</m:t>
                                </m:r>
                              </m:den>
                            </m:f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ρ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2.ε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den>
                                </m:f>
                              </m:e>
                            </m:d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c>
                  </w:tr>
                  <w:tr>
                    <w:tc>
                      <w:tcPr>
                        <w:tcW w:w="4758" w:type="dxa"/>
                      </w:tcPr>
                      <w:p>
                        <w:pPr>
                          <w:spacing w:before="120"/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r∈[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]</m:t>
                            </m:r>
                          </m:oMath>
                        </m:oMathPara>
                      </w:p>
                      <w:p>
                        <w:pPr>
                          <w:spacing w:before="120"/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∇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den>
                            </m:f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∂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∂r</m:t>
                                </m:r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∂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(r)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∂r</m:t>
                                    </m:r>
                                  </m:den>
                                </m:f>
                              </m:e>
                            </m:d>
                            <m:r>
                              <w:rPr>
                                <w:rFonts w:ascii="Cambria Math" w:eastAsia="Cambria Math" w:hAnsi="Cambria Math"/>
                              </w:rPr>
                              <m:t>=-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ε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>
                        <w:pPr>
                          <w:spacing w:before="120"/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d>
                            <m:r>
                              <w:rPr>
                                <w:rFonts w:ascii="Cambria Math" w:eastAsia="Cambria Math" w:hAnsi="Cambria Math"/>
                              </w:rPr>
                              <m:t>=-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4.ε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ln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r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R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</m:func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  <w:p>
                        <w:pPr>
                          <w:spacing w:before="120"/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acc>
                            <m:r>
                              <w:rPr>
                                <w:rFonts w:ascii="Cambria Math" w:eastAsia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∂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∂r</m:t>
                                </m:r>
                              </m:den>
                            </m:f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ρ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2.ε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den>
                                </m:f>
                              </m:e>
                            </m:d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c>
                    <w:tc>
                      <w:tcPr>
                        <w:tcW w:w="4758" w:type="dxa"/>
                      </w:tcPr>
                      <w:p>
                        <w:pPr>
                          <w:spacing w:before="120"/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r∈[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,+∞]</m:t>
                            </m:r>
                          </m:oMath>
                        </m:oMathPara>
                      </w:p>
                      <w:p>
                        <w:pPr>
                          <w:spacing w:before="120"/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∇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eastAsia="Cambria Math" w:hAnsi="Cambria Math"/>
                              </w:rPr>
                              <m:t>=0</m:t>
                            </m:r>
                          </m:oMath>
                        </m:oMathPara>
                      </w:p>
                      <w:p>
                        <w:pPr>
                          <w:spacing w:before="120"/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den>
                            </m:f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∂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∂r</m:t>
                                </m:r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∂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(r)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∂r</m:t>
                                    </m:r>
                                  </m:den>
                                </m:f>
                              </m:e>
                            </m:d>
                            <m:r>
                              <w:rPr>
                                <w:rFonts w:ascii="Cambria Math" w:eastAsia="Cambria Math" w:hAnsi="Cambria Math"/>
                              </w:rPr>
                              <m:t>=0</m:t>
                            </m:r>
                          </m:oMath>
                        </m:oMathPara>
                      </w:p>
                      <w:p>
                        <w:pPr>
                          <w:spacing w:before="120"/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d>
                            <m:r>
                              <w:rPr>
                                <w:rFonts w:ascii="Cambria Math" w:eastAsia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ln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r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R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</m:func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  <w:p>
                        <w:pPr>
                          <w:spacing w:before="120"/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e>
                            </m:acc>
                            <m:r>
                              <w:rPr>
                                <w:rFonts w:ascii="Cambria Math" w:eastAsia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∂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∂r</m:t>
                                </m:r>
                              </m:den>
                            </m:f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acc>
                            <m:r>
                              <w:rPr>
                                <w:rFonts w:ascii="Cambria Math" w:eastAsia="Cambria Math" w:hAnsi="Cambria Math"/>
                              </w:rPr>
                              <m:t>=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den>
                                </m:f>
                              </m:e>
                            </m:d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c>
                  </w:tr>
                </w:tbl>
                <w:p>
                  <w:pPr>
                    <w:spacing w:before="120"/>
                  </w:pPr>
                  <w:r>
                    <w:t>On traite la superposition des différents milieux, en ajoutant un terme des champs sans charges aux milieux chargés tels que</w:t>
                  </w:r>
                </w:p>
                <w:p>
                  <w:pPr>
                    <w:spacing w:before="120"/>
                  </w:pPr>
                  <w:r>
                    <w:t>On identifie les différentes constantes en respectant les différentes conditions de passage entre les milieux telles que,</w:t>
                  </w:r>
                </w:p>
                <w:p>
                  <w:pPr>
                    <w:spacing w:before="120"/>
                    <w:rPr>
                      <w:rFonts w:ascii="Cambria Math" w:hAnsi="Cambria Math"/>
                      <w:i/>
                    </w:rPr>
                  </w:pPr>
                  <w:r>
                    <w:t>à</w:t>
                  </w:r>
                  <w:r>
                    <w:rPr>
                      <w:rFonts w:ascii="Cambria Math" w:hAnsi="Cambria Math"/>
                      <w:i/>
                    </w:rPr>
                    <w:t xml:space="preserve">  </w:t>
                  </w:r>
                  <m:oMath>
                    <m:r>
                      <w:rPr>
                        <w:rFonts w:ascii="Cambria Math" w:hAnsi="Cambria Math"/>
                      </w:rPr>
                      <m:t>r=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oMath>
                </w:p>
                <w:p>
                  <w:pPr>
                    <w:spacing w:before="120"/>
                    <w:rPr>
                      <w:rFonts w:ascii="Cambria Math" w:hAnsi="Cambria Math"/>
                      <w:iCs/>
                      <w:u w:val="single"/>
                    </w:rPr>
                  </w:pPr>
                  <w:r>
                    <w:rPr>
                      <w:rFonts w:ascii="Cambria Math" w:hAnsi="Cambria Math"/>
                      <w:iCs/>
                      <w:u w:val="single"/>
                    </w:rPr>
                    <w:t>condition de passage en tension</w:t>
                  </w:r>
                </w:p>
                <w:p>
                  <w:pPr>
                    <w:spacing w:before="120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="Cambria Math" w:hAnsi="Cambria Math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4.ε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  <w:p>
                  <w:pPr>
                    <w:spacing w:before="120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4.ε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  <w:p>
                  <w:pPr>
                    <w:spacing w:before="120"/>
                  </w:pPr>
                  <w:r>
                    <w:t xml:space="preserve">Il est possible de définir le référentiel de potentiel électrique tel que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=0</m:t>
                    </m:r>
                  </m:oMath>
                </w:p>
                <w:p>
                  <w:pPr>
                    <w:spacing w:before="120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4.ε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>
                  <w:pPr>
                    <w:spacing w:before="120"/>
                    <w:rPr>
                      <w:u w:val="single"/>
                    </w:rPr>
                  </w:pPr>
                  <w:r>
                    <w:rPr>
                      <w:rFonts w:ascii="Cambria Math" w:hAnsi="Cambria Math"/>
                      <w:iCs/>
                      <w:u w:val="single"/>
                    </w:rPr>
                    <w:t xml:space="preserve">condition de passage en </w:t>
                  </w:r>
                  <w:r>
                    <w:rPr>
                      <w:rFonts w:ascii="Cambria Math" w:hAnsi="Cambria Math"/>
                      <w:iCs/>
                      <w:u w:val="single"/>
                    </w:rPr>
                    <w:t>potentiel</w:t>
                  </w:r>
                </w:p>
                <w:p>
                  <w:pPr>
                    <w:spacing w:before="120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=0=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>
                  <w:pPr>
                    <w:spacing w:before="120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>
                  <w:pPr>
                    <w:spacing w:before="120"/>
                    <w:rPr>
                      <w:rFonts w:ascii="Cambria Math" w:hAnsi="Cambria Math"/>
                      <w:i/>
                    </w:rPr>
                  </w:pPr>
                  <w:r>
                    <w:t>à</w:t>
                  </w:r>
                  <w:r>
                    <w:rPr>
                      <w:rFonts w:ascii="Cambria Math" w:hAnsi="Cambria Math"/>
                      <w:i/>
                    </w:rPr>
                    <w:t xml:space="preserve">  </w:t>
                  </w:r>
                  <m:oMath>
                    <m:r>
                      <w:rPr>
                        <w:rFonts w:ascii="Cambria Math" w:hAnsi="Cambria Math"/>
                      </w:rPr>
                      <m:t>r=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oMath>
                </w:p>
                <w:p>
                  <w:pPr>
                    <w:spacing w:before="120"/>
                    <w:rPr>
                      <w:u w:val="single"/>
                    </w:rPr>
                  </w:pPr>
                  <w:r>
                    <w:rPr>
                      <w:rFonts w:ascii="Cambria Math" w:hAnsi="Cambria Math"/>
                      <w:iCs/>
                      <w:u w:val="single"/>
                    </w:rPr>
                    <w:t xml:space="preserve">condition de passage en </w:t>
                  </w:r>
                  <w:r>
                    <w:rPr>
                      <w:rFonts w:ascii="Cambria Math" w:hAnsi="Cambria Math"/>
                      <w:iCs/>
                      <w:u w:val="single"/>
                    </w:rPr>
                    <w:t>tension</w:t>
                  </w:r>
                </w:p>
                <w:p>
                  <w:pPr>
                    <w:spacing w:before="120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eastAsia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4.ε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</m:func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mbria Math" w:hAnsi="Cambria Math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4.ε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  <w:p>
                  <w:pPr>
                    <w:spacing w:before="120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</m:func>
                      <m: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4.ε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4.ε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>
                  <w:pPr>
                    <w:spacing w:before="120"/>
                    <w:rPr>
                      <w:u w:val="single"/>
                    </w:rPr>
                  </w:pPr>
                  <w:r>
                    <w:rPr>
                      <w:rFonts w:ascii="Cambria Math" w:hAnsi="Cambria Math"/>
                      <w:iCs/>
                      <w:u w:val="single"/>
                    </w:rPr>
                    <w:t>condition de passage en potentiel</w:t>
                  </w:r>
                </w:p>
                <w:p>
                  <w:pPr>
                    <w:spacing w:before="120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oMath>
                  </m:oMathPara>
                </w:p>
                <w:p>
                  <w:pPr>
                    <w:spacing w:before="120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</m:d>
                    </m:oMath>
                  </m:oMathPara>
                </w:p>
                <w:p>
                  <w:pPr>
                    <w:spacing w:before="120"/>
                    <w:rPr>
                      <w:rFonts w:ascii="Cambria Math" w:hAnsi="Cambria Math"/>
                      <w:i/>
                    </w:rPr>
                  </w:pPr>
                  <w:r>
                    <w:t>à</w:t>
                  </w:r>
                  <w:r>
                    <w:rPr>
                      <w:rFonts w:ascii="Cambria Math" w:hAnsi="Cambria Math"/>
                      <w:i/>
                    </w:rPr>
                    <w:t xml:space="preserve">  </w:t>
                  </w:r>
                  <m:oMath>
                    <m:r>
                      <w:rPr>
                        <w:rFonts w:ascii="Cambria Math" w:hAnsi="Cambria Math"/>
                      </w:rPr>
                      <m:t>r=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oMath>
                </w:p>
                <w:p>
                  <w:pPr>
                    <w:spacing w:before="120"/>
                    <w:rPr>
                      <w:rFonts w:ascii="Cambria Math" w:hAnsi="Cambria Math"/>
                      <w:iCs/>
                      <w:u w:val="single"/>
                    </w:rPr>
                  </w:pPr>
                  <w:r>
                    <w:rPr>
                      <w:rFonts w:ascii="Cambria Math" w:hAnsi="Cambria Math"/>
                      <w:iCs/>
                      <w:u w:val="single"/>
                    </w:rPr>
                    <w:t>condition de passage en tension</w:t>
                  </w:r>
                </w:p>
                <w:p>
                  <w:pPr>
                    <w:spacing w:before="120"/>
                    <w:rPr>
                      <w:rFonts w:ascii="Cambria Math" w:hAnsi="Cambria Math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="Cambria Math" w:hAnsi="Cambria Math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4.ε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</m:func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  <w:p>
                  <w:pPr>
                    <w:spacing w:before="120"/>
                    <w:rPr>
                      <w:rFonts w:ascii="Cambria Math" w:hAnsi="Cambria Math"/>
                      <w:iCs/>
                      <w:u w:val="single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Cambria Math" w:hAnsi="Cambria Math"/>
                        </w:rPr>
                        <m:t>=</m:t>
                      </m:r>
                      <m:r>
                        <w:rPr>
                          <w:rFonts w:ascii="Cambria Math" w:eastAsia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4.ε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</m:func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  <w:p>
                  <w:pPr>
                    <w:spacing w:before="120"/>
                    <w:rPr>
                      <w:u w:val="single"/>
                    </w:rPr>
                  </w:pPr>
                  <w:r>
                    <w:rPr>
                      <w:rFonts w:ascii="Cambria Math" w:hAnsi="Cambria Math"/>
                      <w:iCs/>
                      <w:u w:val="single"/>
                    </w:rPr>
                    <w:t>condition de passage en potentiel</w:t>
                  </w:r>
                </w:p>
                <w:p>
                  <w:pPr>
                    <w:spacing w:before="120"/>
                    <w:rPr>
                      <w:rFonts w:ascii="Cambria Math" w:hAnsi="Cambria Math"/>
                      <w:i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2.ε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</w:rPr>
                        <m:t>=-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>
                  <w:pPr>
                    <w:spacing w:before="120"/>
                    <w:rPr>
                      <w:rFonts w:ascii="Cambria Math" w:hAnsi="Cambria Math"/>
                      <w:i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  <w:p>
                  <w:pPr>
                    <w:spacing w:before="120"/>
                  </w:pPr>
                </w:p>
              </w:tc>
            </w:tr>
          </w:tbl>
          <w:p/>
        </w:tc>
      </w:tr>
    </w:tbl>
    <w:p/>
    <w:p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2"/>
      </w:tblGrid>
      <w:tr>
        <w:tc>
          <w:tcPr>
            <w:tcW w:w="9742" w:type="dxa"/>
            <w:shd w:val="clear" w:color="auto" w:fill="FFFF00"/>
          </w:tcPr>
          <w:p>
            <w:r>
              <w:t xml:space="preserve">Pour assurer que </w:t>
            </w:r>
            <m:oMath>
              <m:r>
                <w:rPr>
                  <w:rFonts w:ascii="Cambria Math" w:eastAsia="Cambria Math" w:hAnsi="Cambria Math"/>
                </w:rPr>
                <w:br/>
              </m:r>
            </m:oMath>
            <m:oMathPara>
              <m:oMath>
                <m:acc>
                  <m:accPr>
                    <m:chr m:val="⃗"/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3</m:t>
                        </m:r>
                      </m:sub>
                    </m:sSub>
                  </m:e>
                </m:acc>
                <m:r>
                  <w:rPr>
                    <w:rFonts w:ascii="Cambria Math" w:eastAsia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den>
                    </m:f>
                  </m:e>
                </m:d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>
            <w:pPr>
              <w:spacing w:before="120"/>
              <w:rPr>
                <w:rFonts w:ascii="Cambria Math" w:hAnsi="Cambria Math"/>
                <w:i/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=0</m:t>
                </m:r>
              </m:oMath>
            </m:oMathPara>
          </w:p>
          <w:p>
            <w:pPr>
              <w:spacing w:before="120"/>
              <w:rPr>
                <w:rFonts w:ascii="Cambria Math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FF000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color w:val="FF0000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FF000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/>
        </w:tc>
      </w:tr>
    </w:tbl>
    <w:p/>
    <w:p/>
    <w:p>
      <w:pPr>
        <w:pStyle w:val="Titre2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Biot et Savart (/8 points)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Un circuit filaire illustré figure 2 est parcouru par un courant permanent</w:t>
      </w:r>
      <m:oMath>
        <m:r>
          <w:rPr>
            <w:rFonts w:ascii="Cambria Math" w:hAnsi="Cambria Math"/>
            <w:sz w:val="24"/>
            <w:szCs w:val="24"/>
          </w:rPr>
          <m:t xml:space="preserve"> I</m:t>
        </m:r>
      </m:oMath>
      <w:r>
        <w:rPr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Il est formé d’un ’arc de cercle de centre </w:t>
      </w:r>
      <m:oMath>
        <m:r>
          <w:rPr>
            <w:rFonts w:ascii="Cambria Math" w:hAnsi="Cambria Math"/>
            <w:sz w:val="24"/>
            <w:szCs w:val="24"/>
          </w:rPr>
          <m:t>O</m:t>
        </m:r>
      </m:oMath>
      <w:r>
        <w:rPr>
          <w:sz w:val="24"/>
          <w:szCs w:val="24"/>
        </w:rPr>
        <w:t xml:space="preserve"> de rayon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=OA</m:t>
        </m:r>
      </m:oMath>
      <w:r>
        <w:rPr>
          <w:sz w:val="24"/>
          <w:szCs w:val="24"/>
        </w:rPr>
        <w:t xml:space="preserve"> et d’angle </w:t>
      </w: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sz w:val="24"/>
          <w:szCs w:val="24"/>
        </w:rPr>
        <w:t xml:space="preserve">, de deux segments </w:t>
      </w:r>
      <m:oMath>
        <m:r>
          <w:rPr>
            <w:rFonts w:ascii="Cambria Math" w:hAnsi="Cambria Math"/>
            <w:sz w:val="24"/>
            <w:szCs w:val="24"/>
          </w:rPr>
          <m:t>AE</m:t>
        </m:r>
      </m:oMath>
      <w:r>
        <w:rPr>
          <w:sz w:val="24"/>
          <w:szCs w:val="24"/>
        </w:rPr>
        <w:t xml:space="preserve"> et </w:t>
      </w:r>
      <m:oMath>
        <m:r>
          <w:rPr>
            <w:rFonts w:ascii="Cambria Math" w:hAnsi="Cambria Math"/>
            <w:sz w:val="24"/>
            <w:szCs w:val="24"/>
          </w:rPr>
          <m:t>DC</m:t>
        </m:r>
      </m:oMath>
      <w:r>
        <w:rPr>
          <w:sz w:val="24"/>
          <w:szCs w:val="24"/>
        </w:rPr>
        <w:t xml:space="preserve"> portés par des rayons du cercle, et refermé par un arc de cercle de centre </w:t>
      </w:r>
      <m:oMath>
        <m:r>
          <w:rPr>
            <w:rFonts w:ascii="Cambria Math" w:hAnsi="Cambria Math"/>
            <w:sz w:val="24"/>
            <w:szCs w:val="24"/>
          </w:rPr>
          <m:t>O</m:t>
        </m:r>
      </m:oMath>
      <w:r>
        <w:rPr>
          <w:sz w:val="24"/>
          <w:szCs w:val="24"/>
        </w:rPr>
        <w:t xml:space="preserve"> et de rayon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=OE</m:t>
        </m:r>
      </m:oMath>
      <w:r>
        <w:rPr>
          <w:sz w:val="24"/>
          <w:szCs w:val="24"/>
        </w:rPr>
        <w:t xml:space="preserve"> et d’angle </w:t>
      </w: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sz w:val="24"/>
          <w:szCs w:val="24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1816"/>
        <w:gridCol w:w="2437"/>
        <w:gridCol w:w="2402"/>
      </w:tblGrid>
      <w:tr>
        <w:tc>
          <w:tcPr>
            <w:tcW w:w="2410" w:type="dxa"/>
            <w:vAlign w:val="center"/>
          </w:tcPr>
          <w:p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822862" cy="1778996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212" cy="1808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2" w:type="dxa"/>
            <w:gridSpan w:val="3"/>
            <w:vMerge w:val="restart"/>
            <w:vAlign w:val="center"/>
          </w:tcPr>
          <w:p>
            <w:pPr>
              <w:pStyle w:val="Paragraphedeliste"/>
              <w:numPr>
                <w:ilvl w:val="0"/>
                <w:numId w:val="6"/>
              </w:num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Calculer le champ magnétique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>
              <w:rPr>
                <w:sz w:val="24"/>
                <w:szCs w:val="24"/>
              </w:rPr>
              <w:t xml:space="preserve"> au point O</w:t>
            </w:r>
          </w:p>
        </w:tc>
      </w:tr>
      <w:tr>
        <w:tc>
          <w:tcPr>
            <w:tcW w:w="241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Figure2. Circuit filaire</w:t>
            </w:r>
          </w:p>
        </w:tc>
        <w:tc>
          <w:tcPr>
            <w:tcW w:w="7342" w:type="dxa"/>
            <w:gridSpan w:val="3"/>
            <w:vMerge/>
            <w:vAlign w:val="center"/>
          </w:tcPr>
          <w:p>
            <w:pPr>
              <w:jc w:val="left"/>
              <w:rPr>
                <w:i/>
                <w:sz w:val="24"/>
                <w:szCs w:val="24"/>
              </w:rPr>
            </w:pPr>
          </w:p>
        </w:tc>
      </w:tr>
      <w:tr>
        <w:tc>
          <w:tcPr>
            <w:tcW w:w="4401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bottom w:val="double" w:sz="4" w:space="0" w:color="auto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>
            <w:pPr>
              <w:rPr>
                <w:sz w:val="24"/>
                <w:szCs w:val="24"/>
              </w:rPr>
            </w:pPr>
          </w:p>
        </w:tc>
      </w:tr>
    </w:tbl>
    <w:p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2"/>
      </w:tblGrid>
      <w:tr>
        <w:trPr>
          <w:trHeight w:val="6198"/>
        </w:trPr>
        <w:tc>
          <w:tcPr>
            <w:tcW w:w="9742" w:type="dxa"/>
            <w:shd w:val="clear" w:color="auto" w:fill="FFFF00"/>
          </w:tcPr>
          <w:p>
            <w:r>
              <w:t>Pour répondre à cet exercice, il est préférable d’utiliser la définition de Biot et Savart telle que :</w:t>
            </w:r>
          </w:p>
          <w:p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.μ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4π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dl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</m:acc>
                      </m:num>
                      <m:den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den>
                    </m:f>
                  </m:e>
                </m:nary>
              </m:oMath>
            </m:oMathPara>
          </w:p>
          <w:p>
            <w:r>
              <w:t xml:space="preserve">Avec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oMath>
            <w:r>
              <w:t xml:space="preserve"> le vecteur distance entre l’élément de conducteur </w:t>
            </w:r>
            <m:oMath>
              <m:r>
                <w:rPr>
                  <w:rFonts w:ascii="Cambria Math" w:hAnsi="Cambria Math"/>
                </w:rPr>
                <m:t>dl</m:t>
              </m:r>
            </m:oMath>
            <w:r>
              <w:t xml:space="preserve"> et le point O. On peut décrire ce calcul par segment.</w:t>
            </w:r>
          </w:p>
          <w:p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.μ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4π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dl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∧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PO</m:t>
                                </m:r>
                              </m:e>
                            </m:acc>
                          </m:num>
                          <m:den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PO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e>
                            </m:d>
                          </m:den>
                        </m:f>
                      </m:e>
                    </m:nary>
                    <m:r>
                      <w:rPr>
                        <w:rFonts w:ascii="Cambria Math" w:hAnsi="Cambria Math"/>
                      </w:rPr>
                      <m:t>+</m:t>
                    </m:r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dl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∧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PO</m:t>
                                </m:r>
                              </m:e>
                            </m:acc>
                          </m:num>
                          <m:den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PO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e>
                            </m:d>
                          </m:den>
                        </m:f>
                      </m:e>
                    </m:nary>
                    <m:r>
                      <w:rPr>
                        <w:rFonts w:ascii="Cambria Math" w:hAnsi="Cambria Math"/>
                      </w:rPr>
                      <m:t>+</m:t>
                    </m:r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dl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∧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PO</m:t>
                                </m:r>
                              </m:e>
                            </m:acc>
                          </m:num>
                          <m:den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PO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e>
                            </m:d>
                          </m:den>
                        </m:f>
                      </m:e>
                    </m:nary>
                    <m:r>
                      <w:rPr>
                        <w:rFonts w:ascii="Cambria Math" w:hAnsi="Cambria Math"/>
                      </w:rPr>
                      <m:t>+</m:t>
                    </m:r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dl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∧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PO</m:t>
                                </m:r>
                              </m:e>
                            </m:acc>
                          </m:num>
                          <m:den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PO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e>
                            </m:d>
                          </m:den>
                        </m:f>
                      </m:e>
                    </m:nary>
                  </m:e>
                </m:d>
              </m:oMath>
            </m:oMathPara>
          </w:p>
          <w:p>
            <w:r>
              <w:t xml:space="preserve">Sur les segments EA et CD,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dl</m:t>
                  </m:r>
                </m:e>
              </m:acc>
            </m:oMath>
            <w: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PO</m:t>
                  </m:r>
                </m:e>
              </m:acc>
            </m:oMath>
            <w:r>
              <w:t xml:space="preserve"> sont colinéaires si bien que leur produit vectoriel est nul.</w:t>
            </w:r>
          </w:p>
          <w:p>
            <w:r>
              <w:t xml:space="preserve">Sur le segment AC </w:t>
            </w:r>
            <w:r>
              <w:tab/>
            </w:r>
          </w:p>
          <w:p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dl</m:t>
                    </m:r>
                  </m:e>
                </m:acc>
                <m:r>
                  <w:rPr>
                    <w:rFonts w:ascii="Cambria Math" w:hAnsi="Cambria Math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.dθ.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sub>
                    </m:sSub>
                  </m:e>
                </m:acc>
              </m:oMath>
            </m:oMathPara>
          </w:p>
          <w:p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PO</m:t>
                    </m:r>
                  </m:e>
                </m:acc>
                <m:r>
                  <w:rPr>
                    <w:rFonts w:ascii="Cambria Math" w:hAnsi="Cambria Math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</m:sSub>
                  </m:e>
                </m:acc>
              </m:oMath>
            </m:oMathPara>
          </w:p>
          <w:p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C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dl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PO</m:t>
                            </m:r>
                          </m:e>
                        </m:acc>
                      </m:num>
                      <m:den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PO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C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.dθ.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sub>
                            </m:sSub>
                          </m:e>
                        </m:acc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-3π.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2.R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>
            <w:r>
              <w:t>Idem pour le segment DE</w:t>
            </w:r>
          </w:p>
          <w:p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dl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∧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PO</m:t>
                            </m:r>
                          </m:e>
                        </m:acc>
                      </m:num>
                      <m:den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PO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E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.dθ.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sub>
                            </m:sSub>
                          </m:e>
                        </m:acc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-π.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2.R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>
            <w:r>
              <w:t>Ce qui donne finalement</w:t>
            </w:r>
          </w:p>
          <w:p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-I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.μ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</m:sSub>
                  </m:e>
                </m:acc>
              </m:oMath>
            </m:oMathPara>
          </w:p>
        </w:tc>
      </w:tr>
    </w:tbl>
    <w:p/>
    <w:sectPr>
      <w:footerReference w:type="default" r:id="rId9"/>
      <w:headerReference w:type="first" r:id="rId10"/>
      <w:footerReference w:type="first" r:id="rId11"/>
      <w:pgSz w:w="11906" w:h="16838"/>
      <w:pgMar w:top="1077" w:right="1077" w:bottom="1077" w:left="1077" w:header="39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  <w:p/>
    <w:p/>
    <w:p/>
  </w:endnote>
  <w:endnote w:type="continuationSeparator" w:id="0">
    <w:p>
      <w:r>
        <w:continuationSeparator/>
      </w:r>
    </w:p>
    <w:p/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Pieddepage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Pieddepage"/>
    </w:pPr>
    <w: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  <w:p/>
    <w:p/>
    <w:p/>
  </w:footnote>
  <w:footnote w:type="continuationSeparator" w:id="0">
    <w:p>
      <w:r>
        <w:continuationSeparator/>
      </w:r>
    </w:p>
    <w:p/>
    <w:p/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n-tte"/>
      <w:jc w:val="center"/>
    </w:pPr>
    <w:r>
      <w:rPr>
        <w:noProof/>
      </w:rPr>
      <w:drawing>
        <wp:inline distT="0" distB="0" distL="0" distR="0">
          <wp:extent cx="2558819" cy="459925"/>
          <wp:effectExtent l="0" t="0" r="0" b="0"/>
          <wp:docPr id="7" name="Imag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04" cy="462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En-tte"/>
      <w:jc w:val="center"/>
    </w:pPr>
    <w:r>
      <w:t>Département 3EA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DCD"/>
    <w:multiLevelType w:val="hybridMultilevel"/>
    <w:tmpl w:val="C306773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14F50"/>
    <w:multiLevelType w:val="hybridMultilevel"/>
    <w:tmpl w:val="02AAAC34"/>
    <w:lvl w:ilvl="0" w:tplc="24FE6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1FBF"/>
    <w:multiLevelType w:val="hybridMultilevel"/>
    <w:tmpl w:val="02AAAC34"/>
    <w:lvl w:ilvl="0" w:tplc="24FE6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383C"/>
    <w:multiLevelType w:val="hybridMultilevel"/>
    <w:tmpl w:val="05808308"/>
    <w:lvl w:ilvl="0" w:tplc="42541F54">
      <w:start w:val="1"/>
      <w:numFmt w:val="upperRoman"/>
      <w:pStyle w:val="Titre1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76678"/>
    <w:multiLevelType w:val="hybridMultilevel"/>
    <w:tmpl w:val="8B26C6E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46069D"/>
    <w:multiLevelType w:val="hybridMultilevel"/>
    <w:tmpl w:val="62D2A400"/>
    <w:lvl w:ilvl="0" w:tplc="CA6624A4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23B4C5-4A7C-4B7C-BD85-78D5C573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4"/>
    </w:rPr>
  </w:style>
  <w:style w:type="paragraph" w:styleId="Corpsdetexte2">
    <w:name w:val="Body Text 2"/>
    <w:basedOn w:val="Normal"/>
    <w:rPr>
      <w:sz w:val="24"/>
    </w:rPr>
  </w:style>
  <w:style w:type="paragraph" w:styleId="Corpsdetexte3">
    <w:name w:val="Body Text 3"/>
    <w:basedOn w:val="Normal"/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xt12pt">
    <w:name w:val="txt12pt"/>
    <w:basedOn w:val="Policepardfau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character" w:customStyle="1" w:styleId="ff42">
    <w:name w:val="ff42"/>
    <w:basedOn w:val="Policepardfaut"/>
  </w:style>
  <w:style w:type="character" w:customStyle="1" w:styleId="a">
    <w:name w:val="_"/>
    <w:basedOn w:val="Policepardfaut"/>
  </w:style>
  <w:style w:type="character" w:customStyle="1" w:styleId="ff43">
    <w:name w:val="ff43"/>
    <w:basedOn w:val="Policepardfaut"/>
  </w:style>
  <w:style w:type="character" w:customStyle="1" w:styleId="ff46">
    <w:name w:val="ff46"/>
    <w:basedOn w:val="Policepardfaut"/>
  </w:style>
  <w:style w:type="character" w:customStyle="1" w:styleId="ff45">
    <w:name w:val="ff45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Modélisation des phénomènes physiques dans les structures électromagnétiques</vt:lpstr>
    </vt:vector>
  </TitlesOfParts>
  <Company>LEEI CNRS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Modélisation des phénomènes physiques dans les structures électromagnétiques</dc:title>
  <dc:subject/>
  <dc:creator>lefevre</dc:creator>
  <cp:keywords/>
  <dc:description/>
  <cp:lastModifiedBy>François</cp:lastModifiedBy>
  <cp:revision>10</cp:revision>
  <cp:lastPrinted>2020-04-20T15:12:00Z</cp:lastPrinted>
  <dcterms:created xsi:type="dcterms:W3CDTF">2020-04-20T12:05:00Z</dcterms:created>
  <dcterms:modified xsi:type="dcterms:W3CDTF">2020-04-20T16:20:00Z</dcterms:modified>
</cp:coreProperties>
</file>